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9E78D">
      <w:pPr>
        <w:spacing w:line="360" w:lineRule="auto"/>
        <w:jc w:val="center"/>
        <w:rPr>
          <w:rFonts w:ascii="仿宋" w:hAnsi="仿宋" w:eastAsia="仿宋"/>
          <w:b/>
          <w:bCs/>
          <w:sz w:val="28"/>
          <w:szCs w:val="32"/>
        </w:rPr>
      </w:pPr>
      <w:r>
        <w:rPr>
          <w:rFonts w:hint="eastAsia" w:ascii="仿宋" w:hAnsi="仿宋" w:eastAsia="仿宋"/>
          <w:b/>
          <w:bCs/>
          <w:sz w:val="28"/>
          <w:szCs w:val="32"/>
        </w:rPr>
        <w:t>南京市第二医院超融合平台维保需求</w:t>
      </w:r>
    </w:p>
    <w:p w14:paraId="026530A9">
      <w:pPr>
        <w:spacing w:line="276" w:lineRule="auto"/>
        <w:outlineLvl w:val="0"/>
        <w:rPr>
          <w:rFonts w:ascii="仿宋" w:hAnsi="仿宋" w:eastAsia="仿宋"/>
          <w:sz w:val="24"/>
        </w:rPr>
      </w:pPr>
      <w:r>
        <w:rPr>
          <w:rFonts w:hint="eastAsia" w:ascii="仿宋" w:hAnsi="仿宋" w:eastAsia="仿宋"/>
          <w:sz w:val="24"/>
        </w:rPr>
        <w:t>一、供应商资格要求</w:t>
      </w:r>
    </w:p>
    <w:p w14:paraId="7F0865DC">
      <w:pPr>
        <w:spacing w:line="276" w:lineRule="auto"/>
        <w:rPr>
          <w:rFonts w:ascii="仿宋" w:hAnsi="仿宋" w:eastAsia="仿宋"/>
        </w:rPr>
      </w:pPr>
      <w:r>
        <w:rPr>
          <w:rFonts w:ascii="仿宋" w:hAnsi="仿宋" w:eastAsia="仿宋"/>
          <w:b/>
          <w:bCs/>
        </w:rPr>
        <w:t>满足《中华人民共和国政府采购法》第二十二条规定</w:t>
      </w:r>
      <w:r>
        <w:rPr>
          <w:rFonts w:hint="eastAsia" w:ascii="仿宋" w:hAnsi="仿宋" w:eastAsia="仿宋"/>
        </w:rPr>
        <w:t>：</w:t>
      </w:r>
    </w:p>
    <w:p w14:paraId="0038980C">
      <w:pPr>
        <w:spacing w:line="276" w:lineRule="auto"/>
        <w:rPr>
          <w:rFonts w:ascii="仿宋" w:hAnsi="仿宋" w:eastAsia="仿宋"/>
        </w:rPr>
      </w:pPr>
      <w:r>
        <w:rPr>
          <w:rFonts w:hint="eastAsia" w:ascii="仿宋" w:hAnsi="仿宋" w:eastAsia="仿宋"/>
        </w:rPr>
        <w:t>（</w:t>
      </w:r>
      <w:r>
        <w:rPr>
          <w:rFonts w:ascii="仿宋" w:hAnsi="仿宋" w:eastAsia="仿宋"/>
        </w:rPr>
        <w:t>1）具有独立承担民事责任的能力；</w:t>
      </w:r>
    </w:p>
    <w:p w14:paraId="162DB6CA">
      <w:pPr>
        <w:spacing w:line="276" w:lineRule="auto"/>
        <w:rPr>
          <w:rFonts w:ascii="仿宋" w:hAnsi="仿宋" w:eastAsia="仿宋"/>
        </w:rPr>
      </w:pPr>
      <w:r>
        <w:rPr>
          <w:rFonts w:hint="eastAsia" w:ascii="仿宋" w:hAnsi="仿宋" w:eastAsia="仿宋"/>
        </w:rPr>
        <w:t>（</w:t>
      </w:r>
      <w:r>
        <w:rPr>
          <w:rFonts w:ascii="仿宋" w:hAnsi="仿宋" w:eastAsia="仿宋"/>
        </w:rPr>
        <w:t>2）具有良好的商业信誉和健全的财务会计制度；</w:t>
      </w:r>
    </w:p>
    <w:p w14:paraId="72CA2039">
      <w:pPr>
        <w:spacing w:line="276" w:lineRule="auto"/>
        <w:rPr>
          <w:rFonts w:ascii="仿宋" w:hAnsi="仿宋" w:eastAsia="仿宋"/>
        </w:rPr>
      </w:pPr>
      <w:r>
        <w:rPr>
          <w:rFonts w:hint="eastAsia" w:ascii="仿宋" w:hAnsi="仿宋" w:eastAsia="仿宋"/>
        </w:rPr>
        <w:t>（</w:t>
      </w:r>
      <w:r>
        <w:rPr>
          <w:rFonts w:ascii="仿宋" w:hAnsi="仿宋" w:eastAsia="仿宋"/>
        </w:rPr>
        <w:t>3）具有履行合同所必需的设备和专业技术能力；</w:t>
      </w:r>
    </w:p>
    <w:p w14:paraId="4F4325CB">
      <w:pPr>
        <w:spacing w:line="276" w:lineRule="auto"/>
        <w:rPr>
          <w:rFonts w:ascii="仿宋" w:hAnsi="仿宋" w:eastAsia="仿宋"/>
        </w:rPr>
      </w:pPr>
      <w:r>
        <w:rPr>
          <w:rFonts w:hint="eastAsia" w:ascii="仿宋" w:hAnsi="仿宋" w:eastAsia="仿宋"/>
        </w:rPr>
        <w:t>（</w:t>
      </w:r>
      <w:r>
        <w:rPr>
          <w:rFonts w:ascii="仿宋" w:hAnsi="仿宋" w:eastAsia="仿宋"/>
        </w:rPr>
        <w:t>4）有依法缴纳税收和社会保障资金的良好记录；</w:t>
      </w:r>
    </w:p>
    <w:p w14:paraId="5E0DCF29">
      <w:pPr>
        <w:spacing w:line="276" w:lineRule="auto"/>
        <w:rPr>
          <w:rFonts w:ascii="仿宋" w:hAnsi="仿宋" w:eastAsia="仿宋"/>
        </w:rPr>
      </w:pPr>
      <w:r>
        <w:rPr>
          <w:rFonts w:hint="eastAsia" w:ascii="仿宋" w:hAnsi="仿宋" w:eastAsia="仿宋"/>
        </w:rPr>
        <w:t>（</w:t>
      </w:r>
      <w:r>
        <w:rPr>
          <w:rFonts w:ascii="仿宋" w:hAnsi="仿宋" w:eastAsia="仿宋"/>
        </w:rPr>
        <w:t>5）参加政府采购活动前三年内，在经营活动中没有重大违法记录；</w:t>
      </w:r>
    </w:p>
    <w:p w14:paraId="690C7902">
      <w:pPr>
        <w:spacing w:line="276" w:lineRule="auto"/>
        <w:rPr>
          <w:rFonts w:ascii="仿宋" w:hAnsi="仿宋" w:eastAsia="仿宋"/>
        </w:rPr>
      </w:pPr>
      <w:r>
        <w:rPr>
          <w:rFonts w:hint="eastAsia" w:ascii="仿宋" w:hAnsi="仿宋" w:eastAsia="仿宋"/>
        </w:rPr>
        <w:t>（6</w:t>
      </w:r>
      <w:r>
        <w:rPr>
          <w:rFonts w:ascii="仿宋" w:hAnsi="仿宋" w:eastAsia="仿宋"/>
        </w:rPr>
        <w:t>）</w:t>
      </w:r>
      <w:r>
        <w:rPr>
          <w:rFonts w:hint="eastAsia" w:ascii="仿宋" w:hAnsi="仿宋" w:eastAsia="仿宋"/>
        </w:rPr>
        <w:t>提供维保产品的原厂商针对本次项目出具的授权书；</w:t>
      </w:r>
    </w:p>
    <w:p w14:paraId="52D13FBF">
      <w:pPr>
        <w:spacing w:line="276" w:lineRule="auto"/>
        <w:rPr>
          <w:rFonts w:ascii="仿宋" w:hAnsi="仿宋" w:eastAsia="仿宋"/>
        </w:rPr>
      </w:pPr>
      <w:r>
        <w:rPr>
          <w:rFonts w:hint="eastAsia" w:ascii="仿宋" w:hAnsi="仿宋" w:eastAsia="仿宋"/>
        </w:rPr>
        <w:t>（7</w:t>
      </w:r>
      <w:r>
        <w:rPr>
          <w:rFonts w:ascii="仿宋" w:hAnsi="仿宋" w:eastAsia="仿宋"/>
        </w:rPr>
        <w:t>）法律、行政法规规定的其他条件（提供项目实施所必须的许可资质证明材料）</w:t>
      </w:r>
      <w:r>
        <w:rPr>
          <w:rFonts w:hint="eastAsia" w:ascii="仿宋" w:hAnsi="仿宋" w:eastAsia="仿宋"/>
        </w:rPr>
        <w:t>；</w:t>
      </w:r>
    </w:p>
    <w:p w14:paraId="05D974DF">
      <w:pPr>
        <w:spacing w:line="276" w:lineRule="auto"/>
        <w:outlineLvl w:val="0"/>
        <w:rPr>
          <w:rFonts w:ascii="仿宋" w:hAnsi="仿宋" w:eastAsia="仿宋"/>
          <w:sz w:val="24"/>
        </w:rPr>
      </w:pPr>
      <w:r>
        <w:rPr>
          <w:rFonts w:hint="eastAsia" w:ascii="仿宋" w:hAnsi="仿宋" w:eastAsia="仿宋"/>
          <w:sz w:val="24"/>
        </w:rPr>
        <w:t>二、技术要求</w:t>
      </w:r>
    </w:p>
    <w:p w14:paraId="488A241F">
      <w:pPr>
        <w:spacing w:line="276" w:lineRule="auto"/>
        <w:ind w:firstLine="440" w:firstLineChars="200"/>
        <w:rPr>
          <w:rFonts w:ascii="仿宋" w:hAnsi="仿宋" w:eastAsia="仿宋"/>
          <w:szCs w:val="22"/>
        </w:rPr>
      </w:pPr>
      <w:r>
        <w:rPr>
          <w:rFonts w:hint="eastAsia" w:ascii="仿宋" w:hAnsi="仿宋" w:eastAsia="仿宋"/>
          <w:szCs w:val="22"/>
        </w:rPr>
        <w:t>南京市第二医院于2022年1月采购了3台华为超融合服务器、1台存储设备以及1台网关设备构建了一套内网超融合平台运行大量核心业务系统。目前超融合平台已经过了原厂维保期，为确保超融合平台的可靠性，保障业务稳定运行，医院计划采购原厂维保服务（期限一年），从而确保质保期内设备可以获取可靠且及时的质保服务，保障平台的业务及数据安全。</w:t>
      </w:r>
    </w:p>
    <w:p w14:paraId="7C5E86ED">
      <w:pPr>
        <w:spacing w:line="276" w:lineRule="auto"/>
        <w:ind w:firstLine="440" w:firstLineChars="200"/>
        <w:rPr>
          <w:rFonts w:ascii="仿宋" w:hAnsi="仿宋" w:eastAsia="仿宋"/>
          <w:szCs w:val="22"/>
        </w:rPr>
      </w:pPr>
      <w:r>
        <w:rPr>
          <w:rFonts w:hint="eastAsia" w:ascii="仿宋" w:hAnsi="仿宋" w:eastAsia="仿宋"/>
          <w:szCs w:val="22"/>
        </w:rPr>
        <w:t>原厂维保服务清单如下：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536"/>
        <w:gridCol w:w="4625"/>
        <w:gridCol w:w="557"/>
      </w:tblGrid>
      <w:tr w14:paraId="5548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44F3964F">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序号</w:t>
            </w:r>
          </w:p>
        </w:tc>
        <w:tc>
          <w:tcPr>
            <w:tcW w:w="2536" w:type="dxa"/>
            <w:shd w:val="clear" w:color="auto" w:fill="auto"/>
            <w:noWrap/>
            <w:vAlign w:val="center"/>
          </w:tcPr>
          <w:p w14:paraId="6BCBC53E">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型号</w:t>
            </w:r>
          </w:p>
        </w:tc>
        <w:tc>
          <w:tcPr>
            <w:tcW w:w="4625" w:type="dxa"/>
            <w:shd w:val="clear" w:color="auto" w:fill="auto"/>
            <w:vAlign w:val="center"/>
          </w:tcPr>
          <w:p w14:paraId="035AC15B">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配置</w:t>
            </w:r>
          </w:p>
        </w:tc>
        <w:tc>
          <w:tcPr>
            <w:tcW w:w="557" w:type="dxa"/>
            <w:shd w:val="clear" w:color="auto" w:fill="auto"/>
            <w:vAlign w:val="center"/>
          </w:tcPr>
          <w:p w14:paraId="4FDA20E7">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数量</w:t>
            </w:r>
          </w:p>
        </w:tc>
      </w:tr>
      <w:tr w14:paraId="768DA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59BD5C4C">
            <w:pPr>
              <w:widowControl/>
              <w:spacing w:after="0" w:line="240" w:lineRule="auto"/>
              <w:rPr>
                <w:rFonts w:ascii="仿宋" w:hAnsi="仿宋" w:eastAsia="仿宋" w:cs="Arial"/>
                <w:b/>
                <w:bCs/>
                <w:kern w:val="0"/>
                <w:sz w:val="18"/>
                <w:szCs w:val="18"/>
                <w14:ligatures w14:val="none"/>
              </w:rPr>
            </w:pPr>
            <w:r>
              <w:rPr>
                <w:rFonts w:ascii="仿宋" w:hAnsi="仿宋" w:eastAsia="仿宋" w:cs="Arial"/>
                <w:b/>
                <w:bCs/>
                <w:kern w:val="0"/>
                <w:sz w:val="18"/>
                <w:szCs w:val="18"/>
                <w14:ligatures w14:val="none"/>
              </w:rPr>
              <w:t>1</w:t>
            </w:r>
          </w:p>
        </w:tc>
        <w:tc>
          <w:tcPr>
            <w:tcW w:w="7718" w:type="dxa"/>
            <w:gridSpan w:val="3"/>
            <w:shd w:val="clear" w:color="auto" w:fill="auto"/>
            <w:noWrap/>
            <w:vAlign w:val="center"/>
          </w:tcPr>
          <w:p w14:paraId="508AAD58">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超融合节点</w:t>
            </w:r>
          </w:p>
        </w:tc>
      </w:tr>
      <w:tr w14:paraId="1720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344489A5">
            <w:pPr>
              <w:widowControl/>
              <w:spacing w:after="0" w:line="240" w:lineRule="auto"/>
              <w:outlineLvl w:val="0"/>
              <w:rPr>
                <w:rFonts w:ascii="仿宋" w:hAnsi="仿宋" w:eastAsia="仿宋" w:cs="Arial"/>
                <w:kern w:val="0"/>
                <w:sz w:val="18"/>
                <w:szCs w:val="18"/>
                <w14:ligatures w14:val="none"/>
              </w:rPr>
            </w:pPr>
            <w:r>
              <w:rPr>
                <w:rFonts w:ascii="仿宋" w:hAnsi="仿宋" w:eastAsia="仿宋" w:cs="Arial"/>
                <w:kern w:val="0"/>
                <w:sz w:val="18"/>
                <w:szCs w:val="18"/>
                <w14:ligatures w14:val="none"/>
              </w:rPr>
              <w:t>　</w:t>
            </w:r>
          </w:p>
        </w:tc>
        <w:tc>
          <w:tcPr>
            <w:tcW w:w="2536" w:type="dxa"/>
            <w:shd w:val="clear" w:color="auto" w:fill="auto"/>
            <w:noWrap/>
            <w:vAlign w:val="center"/>
          </w:tcPr>
          <w:p w14:paraId="4461497F">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华为FusionCube 1000(Data V6.0)</w:t>
            </w:r>
          </w:p>
        </w:tc>
        <w:tc>
          <w:tcPr>
            <w:tcW w:w="4625" w:type="dxa"/>
            <w:shd w:val="clear" w:color="auto" w:fill="auto"/>
            <w:vAlign w:val="center"/>
          </w:tcPr>
          <w:p w14:paraId="634D5CB5">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超融合节点-DP2200(2U-12*3.5盘位,2*C5218R,HDD,SSD,2*GE+2*10GE,2*900W AC)DP2200_Hi-Care高级服务标准+ FusionCube-Server-2U_一年_原厂续保</w:t>
            </w:r>
          </w:p>
        </w:tc>
        <w:tc>
          <w:tcPr>
            <w:tcW w:w="557" w:type="dxa"/>
            <w:shd w:val="clear" w:color="auto" w:fill="auto"/>
            <w:vAlign w:val="center"/>
          </w:tcPr>
          <w:p w14:paraId="29EA8836">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3套</w:t>
            </w:r>
          </w:p>
        </w:tc>
      </w:tr>
      <w:tr w14:paraId="41AB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5CD61444">
            <w:pPr>
              <w:widowControl/>
              <w:spacing w:after="0" w:line="240" w:lineRule="auto"/>
              <w:rPr>
                <w:rFonts w:ascii="仿宋" w:hAnsi="仿宋" w:eastAsia="仿宋" w:cs="Arial"/>
                <w:b/>
                <w:bCs/>
                <w:kern w:val="0"/>
                <w:sz w:val="18"/>
                <w:szCs w:val="18"/>
                <w14:ligatures w14:val="none"/>
              </w:rPr>
            </w:pPr>
            <w:r>
              <w:rPr>
                <w:rFonts w:ascii="仿宋" w:hAnsi="仿宋" w:eastAsia="仿宋" w:cs="Arial"/>
                <w:b/>
                <w:bCs/>
                <w:kern w:val="0"/>
                <w:sz w:val="18"/>
                <w:szCs w:val="18"/>
                <w14:ligatures w14:val="none"/>
              </w:rPr>
              <w:t>2</w:t>
            </w:r>
          </w:p>
        </w:tc>
        <w:tc>
          <w:tcPr>
            <w:tcW w:w="7718" w:type="dxa"/>
            <w:gridSpan w:val="3"/>
            <w:shd w:val="clear" w:color="auto" w:fill="auto"/>
            <w:noWrap/>
            <w:vAlign w:val="center"/>
          </w:tcPr>
          <w:p w14:paraId="1BD46180">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b/>
                <w:bCs/>
                <w:kern w:val="0"/>
                <w:sz w:val="18"/>
                <w:szCs w:val="18"/>
                <w14:ligatures w14:val="none"/>
              </w:rPr>
              <w:t xml:space="preserve">存储节点 </w:t>
            </w:r>
          </w:p>
        </w:tc>
      </w:tr>
      <w:tr w14:paraId="112D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70173388">
            <w:pPr>
              <w:widowControl/>
              <w:spacing w:after="0" w:line="240" w:lineRule="auto"/>
              <w:outlineLvl w:val="0"/>
              <w:rPr>
                <w:rFonts w:ascii="仿宋" w:hAnsi="仿宋" w:eastAsia="仿宋" w:cs="Arial"/>
                <w:kern w:val="0"/>
                <w:sz w:val="18"/>
                <w:szCs w:val="18"/>
                <w14:ligatures w14:val="none"/>
              </w:rPr>
            </w:pPr>
            <w:r>
              <w:rPr>
                <w:rFonts w:ascii="仿宋" w:hAnsi="仿宋" w:eastAsia="仿宋" w:cs="Arial"/>
                <w:kern w:val="0"/>
                <w:sz w:val="18"/>
                <w:szCs w:val="18"/>
                <w14:ligatures w14:val="none"/>
              </w:rPr>
              <w:t>　</w:t>
            </w:r>
          </w:p>
        </w:tc>
        <w:tc>
          <w:tcPr>
            <w:tcW w:w="2536" w:type="dxa"/>
            <w:shd w:val="clear" w:color="auto" w:fill="auto"/>
            <w:noWrap/>
            <w:vAlign w:val="center"/>
          </w:tcPr>
          <w:p w14:paraId="4520DF05">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华为OceanStor 5510 V5 主机</w:t>
            </w:r>
          </w:p>
        </w:tc>
        <w:tc>
          <w:tcPr>
            <w:tcW w:w="4625" w:type="dxa"/>
            <w:shd w:val="clear" w:color="auto" w:fill="auto"/>
            <w:vAlign w:val="center"/>
          </w:tcPr>
          <w:p w14:paraId="19188AFA">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5510 V5(2U,双控,SAS,交流\240V高压直流,384GB 缓存,4*(4*12Gb) SAS,25*2.5",SPE53C0225)_Hi-Care高级服务标准+ OceanStor 5510 V5 控制框+硬盘_一年_原厂续保</w:t>
            </w:r>
          </w:p>
        </w:tc>
        <w:tc>
          <w:tcPr>
            <w:tcW w:w="557" w:type="dxa"/>
            <w:shd w:val="clear" w:color="auto" w:fill="auto"/>
            <w:vAlign w:val="center"/>
          </w:tcPr>
          <w:p w14:paraId="5D984939">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1套</w:t>
            </w:r>
          </w:p>
        </w:tc>
      </w:tr>
      <w:tr w14:paraId="7D0F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101AAE9F">
            <w:pPr>
              <w:widowControl/>
              <w:spacing w:after="0" w:line="240" w:lineRule="auto"/>
              <w:outlineLvl w:val="0"/>
              <w:rPr>
                <w:rFonts w:ascii="仿宋" w:hAnsi="仿宋" w:eastAsia="仿宋" w:cs="Arial"/>
                <w:kern w:val="0"/>
                <w:sz w:val="18"/>
                <w:szCs w:val="18"/>
                <w14:ligatures w14:val="none"/>
              </w:rPr>
            </w:pPr>
            <w:r>
              <w:rPr>
                <w:rFonts w:ascii="仿宋" w:hAnsi="仿宋" w:eastAsia="仿宋" w:cs="Arial"/>
                <w:kern w:val="0"/>
                <w:sz w:val="18"/>
                <w:szCs w:val="18"/>
                <w14:ligatures w14:val="none"/>
              </w:rPr>
              <w:t>　</w:t>
            </w:r>
          </w:p>
        </w:tc>
        <w:tc>
          <w:tcPr>
            <w:tcW w:w="2536" w:type="dxa"/>
            <w:shd w:val="clear" w:color="auto" w:fill="auto"/>
            <w:noWrap/>
            <w:vAlign w:val="center"/>
          </w:tcPr>
          <w:p w14:paraId="6AA9C733">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华为OceanStor 5510 V5 扩展柜</w:t>
            </w:r>
          </w:p>
        </w:tc>
        <w:tc>
          <w:tcPr>
            <w:tcW w:w="4625" w:type="dxa"/>
            <w:shd w:val="clear" w:color="auto" w:fill="auto"/>
            <w:vAlign w:val="center"/>
          </w:tcPr>
          <w:p w14:paraId="0E4BEDA3">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SAS硬盘框(4U,交流\240V高压直流,3.5",级联模块,24盘位,DAE62435U4)_Hi-Care高级服务标准+ OceanStor 硬盘框+硬盘_一年_原厂续保</w:t>
            </w:r>
          </w:p>
        </w:tc>
        <w:tc>
          <w:tcPr>
            <w:tcW w:w="557" w:type="dxa"/>
            <w:shd w:val="clear" w:color="auto" w:fill="auto"/>
            <w:vAlign w:val="center"/>
          </w:tcPr>
          <w:p w14:paraId="11E82E3B">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1套</w:t>
            </w:r>
          </w:p>
        </w:tc>
      </w:tr>
      <w:tr w14:paraId="19B53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5EA0E7D2">
            <w:pPr>
              <w:widowControl/>
              <w:spacing w:after="0" w:line="240" w:lineRule="auto"/>
              <w:rPr>
                <w:rFonts w:ascii="仿宋" w:hAnsi="仿宋" w:eastAsia="仿宋" w:cs="Arial"/>
                <w:b/>
                <w:bCs/>
                <w:kern w:val="0"/>
                <w:sz w:val="18"/>
                <w:szCs w:val="18"/>
                <w14:ligatures w14:val="none"/>
              </w:rPr>
            </w:pPr>
            <w:r>
              <w:rPr>
                <w:rFonts w:ascii="仿宋" w:hAnsi="仿宋" w:eastAsia="仿宋" w:cs="Arial"/>
                <w:b/>
                <w:bCs/>
                <w:kern w:val="0"/>
                <w:sz w:val="18"/>
                <w:szCs w:val="18"/>
                <w14:ligatures w14:val="none"/>
              </w:rPr>
              <w:t>3</w:t>
            </w:r>
          </w:p>
        </w:tc>
        <w:tc>
          <w:tcPr>
            <w:tcW w:w="7718" w:type="dxa"/>
            <w:gridSpan w:val="3"/>
            <w:shd w:val="clear" w:color="auto" w:fill="auto"/>
            <w:noWrap/>
            <w:vAlign w:val="center"/>
          </w:tcPr>
          <w:p w14:paraId="5DEA3D20">
            <w:pPr>
              <w:widowControl/>
              <w:spacing w:after="0" w:line="240" w:lineRule="auto"/>
              <w:rPr>
                <w:rFonts w:ascii="仿宋" w:hAnsi="仿宋" w:eastAsia="仿宋" w:cs="Arial"/>
                <w:b/>
                <w:bCs/>
                <w:kern w:val="0"/>
                <w:sz w:val="18"/>
                <w:szCs w:val="18"/>
                <w14:ligatures w14:val="none"/>
              </w:rPr>
            </w:pPr>
            <w:r>
              <w:rPr>
                <w:rFonts w:hint="eastAsia" w:ascii="仿宋" w:hAnsi="仿宋" w:eastAsia="仿宋" w:cs="Arial"/>
                <w:kern w:val="0"/>
                <w:sz w:val="18"/>
                <w:szCs w:val="18"/>
                <w14:ligatures w14:val="none"/>
              </w:rPr>
              <w:t>超融合网关</w:t>
            </w:r>
          </w:p>
        </w:tc>
      </w:tr>
      <w:tr w14:paraId="6764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 w:type="dxa"/>
            <w:shd w:val="clear" w:color="auto" w:fill="auto"/>
            <w:noWrap/>
            <w:vAlign w:val="center"/>
          </w:tcPr>
          <w:p w14:paraId="57CB5D82">
            <w:pPr>
              <w:widowControl/>
              <w:spacing w:after="0" w:line="240" w:lineRule="auto"/>
              <w:outlineLvl w:val="0"/>
              <w:rPr>
                <w:rFonts w:ascii="仿宋" w:hAnsi="仿宋" w:eastAsia="仿宋" w:cs="Arial"/>
                <w:kern w:val="0"/>
                <w:sz w:val="18"/>
                <w:szCs w:val="18"/>
                <w14:ligatures w14:val="none"/>
              </w:rPr>
            </w:pPr>
            <w:r>
              <w:rPr>
                <w:rFonts w:ascii="仿宋" w:hAnsi="仿宋" w:eastAsia="仿宋" w:cs="Arial"/>
                <w:kern w:val="0"/>
                <w:sz w:val="18"/>
                <w:szCs w:val="18"/>
                <w14:ligatures w14:val="none"/>
              </w:rPr>
              <w:t>　</w:t>
            </w:r>
          </w:p>
        </w:tc>
        <w:tc>
          <w:tcPr>
            <w:tcW w:w="2536" w:type="dxa"/>
            <w:shd w:val="clear" w:color="auto" w:fill="auto"/>
            <w:noWrap/>
            <w:vAlign w:val="center"/>
          </w:tcPr>
          <w:p w14:paraId="2FCF3273">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华为 USG6503E-C</w:t>
            </w:r>
          </w:p>
        </w:tc>
        <w:tc>
          <w:tcPr>
            <w:tcW w:w="4625" w:type="dxa"/>
            <w:shd w:val="clear" w:color="auto" w:fill="auto"/>
            <w:vAlign w:val="center"/>
          </w:tcPr>
          <w:p w14:paraId="3ACF20AC">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USG6503E-C交流主机(16*GE RJ45+8*GE Combo+2*10GE SFP+,1交流电源)_Hi-Care高级服务标准+ USG6503E_一年_原厂续保</w:t>
            </w:r>
          </w:p>
        </w:tc>
        <w:tc>
          <w:tcPr>
            <w:tcW w:w="557" w:type="dxa"/>
            <w:shd w:val="clear" w:color="auto" w:fill="auto"/>
            <w:vAlign w:val="center"/>
          </w:tcPr>
          <w:p w14:paraId="3725377C">
            <w:pPr>
              <w:widowControl/>
              <w:spacing w:after="0" w:line="240" w:lineRule="auto"/>
              <w:outlineLvl w:val="0"/>
              <w:rPr>
                <w:rFonts w:ascii="仿宋" w:hAnsi="仿宋" w:eastAsia="仿宋" w:cs="Arial"/>
                <w:kern w:val="0"/>
                <w:sz w:val="18"/>
                <w:szCs w:val="18"/>
                <w14:ligatures w14:val="none"/>
              </w:rPr>
            </w:pPr>
            <w:r>
              <w:rPr>
                <w:rFonts w:hint="eastAsia" w:ascii="仿宋" w:hAnsi="仿宋" w:eastAsia="仿宋" w:cs="Arial"/>
                <w:kern w:val="0"/>
                <w:sz w:val="18"/>
                <w:szCs w:val="18"/>
                <w14:ligatures w14:val="none"/>
              </w:rPr>
              <w:t>1套</w:t>
            </w:r>
          </w:p>
        </w:tc>
      </w:tr>
    </w:tbl>
    <w:p w14:paraId="3BD52DB5">
      <w:pPr>
        <w:spacing w:line="360" w:lineRule="auto"/>
        <w:outlineLvl w:val="0"/>
        <w:rPr>
          <w:rFonts w:ascii="仿宋" w:hAnsi="仿宋" w:eastAsia="仿宋"/>
          <w:sz w:val="24"/>
        </w:rPr>
      </w:pPr>
      <w:r>
        <w:rPr>
          <w:rFonts w:hint="eastAsia" w:ascii="仿宋" w:hAnsi="仿宋" w:eastAsia="仿宋"/>
          <w:sz w:val="24"/>
        </w:rPr>
        <w:t>三、实施及服务要求</w:t>
      </w:r>
    </w:p>
    <w:p w14:paraId="3E394FB4">
      <w:pPr>
        <w:pStyle w:val="30"/>
        <w:numPr>
          <w:ilvl w:val="0"/>
          <w:numId w:val="1"/>
        </w:numPr>
        <w:spacing w:after="0" w:line="360" w:lineRule="auto"/>
        <w:contextualSpacing w:val="0"/>
        <w:jc w:val="both"/>
        <w:outlineLvl w:val="1"/>
        <w:rPr>
          <w:rFonts w:ascii="仿宋" w:hAnsi="仿宋" w:eastAsia="仿宋"/>
          <w:vanish/>
          <w:szCs w:val="21"/>
        </w:rPr>
      </w:pPr>
    </w:p>
    <w:p w14:paraId="7A151AED">
      <w:pPr>
        <w:pStyle w:val="30"/>
        <w:numPr>
          <w:ilvl w:val="0"/>
          <w:numId w:val="1"/>
        </w:numPr>
        <w:spacing w:after="0" w:line="360" w:lineRule="auto"/>
        <w:contextualSpacing w:val="0"/>
        <w:jc w:val="both"/>
        <w:outlineLvl w:val="1"/>
        <w:rPr>
          <w:rFonts w:ascii="仿宋" w:hAnsi="仿宋" w:eastAsia="仿宋"/>
          <w:vanish/>
          <w:szCs w:val="21"/>
        </w:rPr>
      </w:pPr>
    </w:p>
    <w:p w14:paraId="029B2A97">
      <w:pPr>
        <w:pStyle w:val="30"/>
        <w:numPr>
          <w:ilvl w:val="0"/>
          <w:numId w:val="1"/>
        </w:numPr>
        <w:spacing w:after="0" w:line="360" w:lineRule="auto"/>
        <w:contextualSpacing w:val="0"/>
        <w:jc w:val="both"/>
        <w:outlineLvl w:val="1"/>
        <w:rPr>
          <w:rFonts w:ascii="仿宋" w:hAnsi="仿宋" w:eastAsia="仿宋"/>
          <w:vanish/>
          <w:szCs w:val="21"/>
        </w:rPr>
      </w:pPr>
    </w:p>
    <w:p w14:paraId="0AB98810">
      <w:pPr>
        <w:numPr>
          <w:ilvl w:val="1"/>
          <w:numId w:val="1"/>
        </w:numPr>
        <w:spacing w:after="0" w:line="276" w:lineRule="auto"/>
        <w:jc w:val="both"/>
        <w:outlineLvl w:val="1"/>
        <w:rPr>
          <w:rFonts w:ascii="仿宋" w:hAnsi="仿宋" w:eastAsia="仿宋"/>
          <w:szCs w:val="21"/>
        </w:rPr>
      </w:pPr>
      <w:r>
        <w:rPr>
          <w:rFonts w:hint="eastAsia" w:ascii="仿宋" w:hAnsi="仿宋" w:eastAsia="仿宋"/>
          <w:szCs w:val="21"/>
        </w:rPr>
        <w:t>项目实施要求</w:t>
      </w:r>
    </w:p>
    <w:p w14:paraId="0AA58AE2">
      <w:pPr>
        <w:spacing w:line="276" w:lineRule="auto"/>
        <w:ind w:firstLine="440" w:firstLineChars="200"/>
        <w:rPr>
          <w:rFonts w:ascii="仿宋" w:hAnsi="仿宋" w:eastAsia="仿宋"/>
          <w:szCs w:val="21"/>
        </w:rPr>
      </w:pPr>
      <w:r>
        <w:rPr>
          <w:rFonts w:hint="eastAsia" w:ascii="仿宋" w:hAnsi="仿宋" w:eastAsia="仿宋"/>
          <w:szCs w:val="21"/>
        </w:rPr>
        <w:t xml:space="preserve">要求本项目自合同正式签署生效起 </w:t>
      </w:r>
      <w:r>
        <w:rPr>
          <w:rFonts w:ascii="仿宋" w:hAnsi="仿宋" w:eastAsia="仿宋"/>
          <w:szCs w:val="21"/>
        </w:rPr>
        <w:t>10</w:t>
      </w:r>
      <w:r>
        <w:rPr>
          <w:rFonts w:hint="eastAsia" w:ascii="仿宋" w:hAnsi="仿宋" w:eastAsia="仿宋"/>
          <w:szCs w:val="21"/>
        </w:rPr>
        <w:t xml:space="preserve"> 个工作日内完成供货及实施。集成商中标后须组织项目实施小组，组成人员包括项目管理人员和项目实施人员。</w:t>
      </w:r>
    </w:p>
    <w:p w14:paraId="0BCDB501">
      <w:pPr>
        <w:spacing w:line="276" w:lineRule="auto"/>
        <w:ind w:firstLine="440" w:firstLineChars="200"/>
        <w:rPr>
          <w:rFonts w:ascii="仿宋" w:hAnsi="仿宋" w:eastAsia="仿宋"/>
          <w:szCs w:val="21"/>
        </w:rPr>
      </w:pPr>
      <w:r>
        <w:rPr>
          <w:rFonts w:hint="eastAsia" w:ascii="仿宋" w:hAnsi="仿宋" w:eastAsia="仿宋"/>
          <w:szCs w:val="21"/>
        </w:rPr>
        <w:t>项目管理：提供项目经理1名，负责整个项目的管理。</w:t>
      </w:r>
    </w:p>
    <w:p w14:paraId="5CDADC64">
      <w:pPr>
        <w:numPr>
          <w:ilvl w:val="1"/>
          <w:numId w:val="1"/>
        </w:numPr>
        <w:spacing w:after="0" w:line="276" w:lineRule="auto"/>
        <w:jc w:val="both"/>
        <w:outlineLvl w:val="1"/>
        <w:rPr>
          <w:rFonts w:ascii="仿宋" w:hAnsi="仿宋" w:eastAsia="仿宋"/>
          <w:szCs w:val="21"/>
        </w:rPr>
      </w:pPr>
      <w:r>
        <w:rPr>
          <w:rFonts w:hint="eastAsia" w:ascii="仿宋" w:hAnsi="仿宋" w:eastAsia="仿宋"/>
          <w:szCs w:val="21"/>
        </w:rPr>
        <w:t>售后服务内容</w:t>
      </w:r>
    </w:p>
    <w:p w14:paraId="29BF0C7B">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要求签订合同前提供原厂商针对本次项目出具的售后服务承诺函。</w:t>
      </w:r>
    </w:p>
    <w:p w14:paraId="5345D460">
      <w:pPr>
        <w:spacing w:line="276" w:lineRule="auto"/>
        <w:ind w:firstLine="440" w:firstLineChars="200"/>
        <w:rPr>
          <w:rFonts w:ascii="仿宋" w:hAnsi="仿宋" w:eastAsia="仿宋"/>
          <w:sz w:val="24"/>
        </w:rPr>
      </w:pPr>
      <w:r>
        <w:rPr>
          <w:rFonts w:hint="eastAsia" w:ascii="仿宋" w:hAnsi="仿宋" w:eastAsia="仿宋" w:cstheme="minorEastAsia"/>
          <w:szCs w:val="21"/>
        </w:rPr>
        <w:t>项目售后服务包括上述产品的原厂质保和集成商服务支持。服务内容主要涉及原厂质保服务、集成商维护服务、备件更换、技术支持、故障处理、常规巡检保养、系统的规划和配置、系统的升级维护等。</w:t>
      </w:r>
    </w:p>
    <w:p w14:paraId="38F13DDE">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中标方应提供下列服务内容：</w:t>
      </w:r>
    </w:p>
    <w:p w14:paraId="19DF4312">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1）常规巡检及维保</w:t>
      </w:r>
    </w:p>
    <w:p w14:paraId="251CBFB7">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中标方为南京市第二医院固定提供产品的每季度一次的常规巡检保养服务，于每个季度的最后</w:t>
      </w:r>
      <w:r>
        <w:rPr>
          <w:rFonts w:ascii="仿宋" w:hAnsi="仿宋" w:eastAsia="仿宋" w:cstheme="minorEastAsia"/>
          <w:szCs w:val="21"/>
        </w:rPr>
        <w:t>5</w:t>
      </w:r>
      <w:r>
        <w:rPr>
          <w:rFonts w:hint="eastAsia" w:ascii="仿宋" w:hAnsi="仿宋" w:eastAsia="仿宋" w:cstheme="minorEastAsia"/>
          <w:szCs w:val="21"/>
        </w:rPr>
        <w:t>个工作日内完成。中标方应事先规划巡检安排，征得南京市第二医院同意后方可进行常规巡检及保养服务。</w:t>
      </w:r>
    </w:p>
    <w:p w14:paraId="5AF38F78">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常规巡检保养内容必须包括但不仅限于以下内容：</w:t>
      </w:r>
    </w:p>
    <w:p w14:paraId="4CD3CD14">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系统运行状态检查：系统自检情况的检查与处理、系统日志检查并提供确定的故障分析报告、诊断系统主要模块的状态并对出现的问题进行处理、检查系统资源使用限制及各系统资源利用情况清单。</w:t>
      </w:r>
    </w:p>
    <w:p w14:paraId="746F53FA">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巡检保养记录报告：巡检保养结束后应将巡检操作事项及巡检结果做出巡检保养记录报告交给客户。</w:t>
      </w:r>
    </w:p>
    <w:p w14:paraId="6DF5843F">
      <w:pPr>
        <w:numPr>
          <w:ilvl w:val="0"/>
          <w:numId w:val="2"/>
        </w:numPr>
        <w:spacing w:after="0" w:line="276" w:lineRule="auto"/>
        <w:ind w:right="-161"/>
        <w:jc w:val="both"/>
        <w:rPr>
          <w:rFonts w:ascii="仿宋" w:hAnsi="仿宋" w:eastAsia="仿宋" w:cstheme="minorEastAsia"/>
          <w:szCs w:val="21"/>
        </w:rPr>
      </w:pPr>
      <w:r>
        <w:rPr>
          <w:rFonts w:hint="eastAsia" w:ascii="仿宋" w:hAnsi="仿宋" w:eastAsia="仿宋" w:cstheme="minorEastAsia"/>
          <w:szCs w:val="21"/>
        </w:rPr>
        <w:t>故障处理</w:t>
      </w:r>
    </w:p>
    <w:p w14:paraId="7EDF4A69">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中标方提供7×24小时服务响应。</w:t>
      </w:r>
    </w:p>
    <w:p w14:paraId="5736A324">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中标方提供7×24小时远程技术支持。</w:t>
      </w:r>
    </w:p>
    <w:p w14:paraId="661D85CD">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中标方负责对系统出现的故障进行故障定位，故障排除。</w:t>
      </w:r>
    </w:p>
    <w:p w14:paraId="15A2EEA1">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南京市第二医院在日常工作中遭遇与本次项目相关的硬件故障或异常后通知中标方，如南京市第二医院明确该故障需要立即处理，则中标方的维护人员应在1小时内到达现场；无特殊原因，则中标方的维护人员应在24小时内到达现场。以上时间从中标方收到需求方故障通知开始计算，至技术维护人员到达现场为止。</w:t>
      </w:r>
    </w:p>
    <w:p w14:paraId="26A95235">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对于一般故障，当中标方的维护人员第一次到达现场无法明确故障原因或两次上门没有解决问题，维护人员必须升级至中标方技术主管和产品原厂商，建立此次故障档案。中标方在三天内未能解决或不能明确可行解决方案的，则必须由原厂商来对故障进行处理。</w:t>
      </w:r>
    </w:p>
    <w:p w14:paraId="48C38C2D">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中标方的维护人员在进行每一次现场服务时需填写《现场维修服务单》。</w:t>
      </w:r>
    </w:p>
    <w:p w14:paraId="10E57AC9">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2） 版本升级</w:t>
      </w:r>
    </w:p>
    <w:p w14:paraId="4EA41BBA">
      <w:pPr>
        <w:spacing w:line="276" w:lineRule="auto"/>
        <w:ind w:left="105" w:right="-161"/>
        <w:rPr>
          <w:rFonts w:ascii="仿宋" w:hAnsi="仿宋" w:eastAsia="仿宋" w:cstheme="minorEastAsia"/>
          <w:szCs w:val="21"/>
        </w:rPr>
      </w:pPr>
      <w:r>
        <w:rPr>
          <w:rFonts w:hint="eastAsia" w:ascii="仿宋" w:hAnsi="仿宋" w:eastAsia="仿宋" w:cstheme="minorEastAsia"/>
          <w:szCs w:val="21"/>
        </w:rPr>
        <w:t xml:space="preserve">   服务期限内，中标方需根据需求方要求提供所涉及设备系统的版本升级服务。</w:t>
      </w:r>
    </w:p>
    <w:p w14:paraId="08C89CF2">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3）其他要求</w:t>
      </w:r>
    </w:p>
    <w:p w14:paraId="13399262">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中标方应确保通过维保服务，确保维保范围内的系统的年可用率（年正常运行时间/年总时间）不低于99.5%；确保维保范围内的系统的年故障数不超过</w:t>
      </w:r>
      <w:r>
        <w:rPr>
          <w:rFonts w:ascii="仿宋" w:hAnsi="仿宋" w:eastAsia="仿宋" w:cstheme="minorEastAsia"/>
          <w:szCs w:val="21"/>
        </w:rPr>
        <w:t>10</w:t>
      </w:r>
      <w:r>
        <w:rPr>
          <w:rFonts w:hint="eastAsia" w:ascii="仿宋" w:hAnsi="仿宋" w:eastAsia="仿宋" w:cstheme="minorEastAsia"/>
          <w:szCs w:val="21"/>
        </w:rPr>
        <w:t>次；确保维保范围内的系统的年故障平均恢复时间不超过</w:t>
      </w:r>
      <w:r>
        <w:rPr>
          <w:rFonts w:ascii="仿宋" w:hAnsi="仿宋" w:eastAsia="仿宋" w:cstheme="minorEastAsia"/>
          <w:szCs w:val="21"/>
        </w:rPr>
        <w:t>1</w:t>
      </w:r>
      <w:r>
        <w:rPr>
          <w:rFonts w:hint="eastAsia" w:ascii="仿宋" w:hAnsi="仿宋" w:eastAsia="仿宋" w:cstheme="minorEastAsia"/>
          <w:szCs w:val="21"/>
        </w:rPr>
        <w:t>个小时。</w:t>
      </w:r>
    </w:p>
    <w:p w14:paraId="0EE2C536">
      <w:pPr>
        <w:spacing w:line="276" w:lineRule="auto"/>
        <w:ind w:firstLine="440" w:firstLineChars="200"/>
        <w:rPr>
          <w:rFonts w:ascii="仿宋" w:hAnsi="仿宋" w:eastAsia="仿宋" w:cstheme="minorEastAsia"/>
          <w:szCs w:val="21"/>
        </w:rPr>
      </w:pPr>
      <w:r>
        <w:rPr>
          <w:rFonts w:hint="eastAsia" w:ascii="仿宋" w:hAnsi="仿宋" w:eastAsia="仿宋" w:cstheme="minorEastAsia"/>
          <w:szCs w:val="21"/>
        </w:rPr>
        <w:t>4） 人员要求</w:t>
      </w:r>
    </w:p>
    <w:p w14:paraId="2CB46E87">
      <w:pPr>
        <w:spacing w:line="276" w:lineRule="auto"/>
        <w:ind w:firstLine="440" w:firstLineChars="200"/>
        <w:rPr>
          <w:rFonts w:ascii="仿宋" w:hAnsi="仿宋" w:eastAsia="仿宋"/>
        </w:rPr>
      </w:pPr>
      <w:r>
        <w:rPr>
          <w:rFonts w:hint="eastAsia" w:ascii="仿宋" w:hAnsi="仿宋" w:eastAsia="仿宋" w:cstheme="minorEastAsia"/>
          <w:szCs w:val="21"/>
        </w:rPr>
        <w:t>维保人员要求：中标方的现场维护人员具有3年以上的投标产品维护服务经验，且可派遣的人数不少于2名。</w:t>
      </w:r>
    </w:p>
    <w:p w14:paraId="2100F694">
      <w:pPr>
        <w:numPr>
          <w:ilvl w:val="1"/>
          <w:numId w:val="1"/>
        </w:numPr>
        <w:spacing w:after="0" w:line="276" w:lineRule="auto"/>
        <w:jc w:val="both"/>
        <w:outlineLvl w:val="1"/>
        <w:rPr>
          <w:rFonts w:ascii="仿宋" w:hAnsi="仿宋" w:eastAsia="仿宋"/>
          <w:szCs w:val="21"/>
        </w:rPr>
      </w:pPr>
      <w:r>
        <w:rPr>
          <w:rFonts w:hint="eastAsia" w:ascii="仿宋" w:hAnsi="仿宋" w:eastAsia="仿宋"/>
          <w:szCs w:val="21"/>
        </w:rPr>
        <w:t>其他要求</w:t>
      </w:r>
    </w:p>
    <w:p w14:paraId="35E4CD8F">
      <w:pPr>
        <w:spacing w:line="276" w:lineRule="auto"/>
        <w:ind w:firstLine="440" w:firstLineChars="200"/>
        <w:rPr>
          <w:rFonts w:ascii="仿宋" w:hAnsi="仿宋" w:eastAsia="仿宋"/>
          <w:sz w:val="24"/>
          <w:szCs w:val="28"/>
        </w:rPr>
      </w:pPr>
      <w:r>
        <w:rPr>
          <w:rFonts w:hint="eastAsia" w:ascii="仿宋" w:hAnsi="仿宋" w:eastAsia="仿宋"/>
          <w:szCs w:val="21"/>
        </w:rPr>
        <w:t>维保服务期满后，如成交供应商履约情况良好，且经采购人考核合格，采购人可不高于本次中标单价直接与该供应商续签合同一次，最多续签</w:t>
      </w:r>
      <w:r>
        <w:rPr>
          <w:rFonts w:hint="eastAsia" w:ascii="仿宋" w:hAnsi="仿宋" w:eastAsia="仿宋"/>
          <w:szCs w:val="21"/>
          <w:lang w:val="en-US" w:eastAsia="zh-CN"/>
        </w:rPr>
        <w:t>二</w:t>
      </w:r>
      <w:bookmarkStart w:id="0" w:name="_GoBack"/>
      <w:bookmarkEnd w:id="0"/>
      <w:r>
        <w:rPr>
          <w:rFonts w:hint="eastAsia" w:ascii="仿宋" w:hAnsi="仿宋" w:eastAsia="仿宋"/>
          <w:szCs w:val="21"/>
        </w:rPr>
        <w:t>次</w:t>
      </w:r>
      <w:r>
        <w:rPr>
          <w:rFonts w:hint="eastAsia" w:ascii="仿宋" w:hAnsi="仿宋" w:eastAsia="仿宋" w:cstheme="minorEastAsia"/>
          <w:szCs w:val="21"/>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7252E"/>
    <w:multiLevelType w:val="multilevel"/>
    <w:tmpl w:val="28C7252E"/>
    <w:lvl w:ilvl="0" w:tentative="0">
      <w:start w:val="1"/>
      <w:numFmt w:val="decimal"/>
      <w:lvlText w:val="（%1）"/>
      <w:lvlJc w:val="left"/>
      <w:pPr>
        <w:ind w:left="825" w:hanging="72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4BC04839"/>
    <w:multiLevelType w:val="multilevel"/>
    <w:tmpl w:val="4BC04839"/>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01"/>
    <w:rsid w:val="0003649A"/>
    <w:rsid w:val="00070A4E"/>
    <w:rsid w:val="00220CBF"/>
    <w:rsid w:val="002B0F3A"/>
    <w:rsid w:val="002B3DBB"/>
    <w:rsid w:val="00452832"/>
    <w:rsid w:val="004A532C"/>
    <w:rsid w:val="005456F3"/>
    <w:rsid w:val="005E3FCA"/>
    <w:rsid w:val="00682DB4"/>
    <w:rsid w:val="006A2044"/>
    <w:rsid w:val="00822FED"/>
    <w:rsid w:val="00864E60"/>
    <w:rsid w:val="00870788"/>
    <w:rsid w:val="00902720"/>
    <w:rsid w:val="009B2C71"/>
    <w:rsid w:val="00A80A01"/>
    <w:rsid w:val="00AD5431"/>
    <w:rsid w:val="00B16977"/>
    <w:rsid w:val="00B202BC"/>
    <w:rsid w:val="00B5580F"/>
    <w:rsid w:val="00C32C8C"/>
    <w:rsid w:val="00FF7B01"/>
    <w:rsid w:val="5A4D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cstheme="majorBidi"/>
      <w:color w:val="104862" w:themeColor="accent1" w:themeShade="BF"/>
      <w:sz w:val="28"/>
      <w:szCs w:val="28"/>
    </w:rPr>
  </w:style>
  <w:style w:type="character" w:customStyle="1" w:styleId="21">
    <w:name w:val="标题 5 字符"/>
    <w:basedOn w:val="16"/>
    <w:link w:val="6"/>
    <w:semiHidden/>
    <w:qFormat/>
    <w:uiPriority w:val="9"/>
    <w:rPr>
      <w:rFonts w:cstheme="majorBidi"/>
      <w:color w:val="104862" w:themeColor="accent1" w:themeShade="BF"/>
      <w:sz w:val="24"/>
    </w:rPr>
  </w:style>
  <w:style w:type="character" w:customStyle="1" w:styleId="22">
    <w:name w:val="标题 6 字符"/>
    <w:basedOn w:val="16"/>
    <w:link w:val="7"/>
    <w:semiHidden/>
    <w:qFormat/>
    <w:uiPriority w:val="9"/>
    <w:rPr>
      <w:rFonts w:cstheme="majorBidi"/>
      <w:b/>
      <w:bCs/>
      <w:color w:val="104862"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1704</Words>
  <Characters>2027</Characters>
  <Lines>15</Lines>
  <Paragraphs>4</Paragraphs>
  <TotalTime>1</TotalTime>
  <ScaleCrop>false</ScaleCrop>
  <LinksUpToDate>false</LinksUpToDate>
  <CharactersWithSpaces>2063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2025-04-11T00:36:00Z</dcterms:created>
  <dc:creator>pandj</dc:creator>
  <cp:lastModifiedBy>一半</cp:lastModifiedBy>
  <dcterms:modified xsi:type="dcterms:W3CDTF">2025-04-11T01:12:57Z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eyJoZGlkIjoiMzY1NTFjNzI4Yjk1MGU2MjM0YzdjMjY2MjFkNTFhNWUiLCJ1c2VySWQiOiIzNzA3NTQ4MjcifQ==</vt:lpwstr>
  </property>
  <property fmtid="{D5CDD505-2E9C-101B-9397-08002B2CF9AE}" pid="3" name="KSOProductBuildVer">
    <vt:lpwstr>2052-12.1.0.20305</vt:lpwstr>
  </property>
  <property fmtid="{D5CDD505-2E9C-101B-9397-08002B2CF9AE}" pid="4" name="ICV">
    <vt:lpwstr>02956CD2AA214794A20690ADCF67BB01_12</vt:lpwstr>
  </property>
</Properties>
</file>